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268EC">
      <w:pPr>
        <w:pStyle w:val="11"/>
        <w:widowControl/>
        <w:autoSpaceDE/>
        <w:adjustRightInd/>
        <w:ind w:left="720" w:hanging="720"/>
        <w:jc w:val="center"/>
        <w:rPr>
          <w:rFonts w:ascii="Cambria" w:hAnsi="Cambria" w:cs="Arial"/>
          <w:b/>
          <w:bCs/>
          <w:sz w:val="24"/>
        </w:rPr>
      </w:pPr>
      <w:r>
        <w:rPr>
          <w:rFonts w:ascii="Cambria" w:hAnsi="Cambria" w:cs="Arial"/>
          <w:b/>
          <w:bCs/>
          <w:sz w:val="24"/>
        </w:rPr>
        <w:t xml:space="preserve">Term of Reference (ToR) for </w:t>
      </w:r>
    </w:p>
    <w:p w14:paraId="2EFFE892">
      <w:pPr>
        <w:pStyle w:val="11"/>
        <w:widowControl/>
        <w:autoSpaceDE/>
        <w:adjustRightInd/>
        <w:ind w:left="720" w:hanging="720"/>
        <w:jc w:val="center"/>
        <w:rPr>
          <w:rFonts w:ascii="Cambria" w:hAnsi="Cambria" w:cs="Arial"/>
          <w:b/>
          <w:bCs/>
          <w:sz w:val="24"/>
        </w:rPr>
      </w:pPr>
      <w:r>
        <w:rPr>
          <w:rFonts w:ascii="Cambria" w:hAnsi="Cambria" w:cs="Arial"/>
          <w:b/>
          <w:bCs/>
          <w:sz w:val="24"/>
        </w:rPr>
        <w:t xml:space="preserve">The Position of Technical Officer (Aquaculture) under </w:t>
      </w:r>
    </w:p>
    <w:p w14:paraId="0BBFC1DD">
      <w:pPr>
        <w:jc w:val="center"/>
        <w:rPr>
          <w:rFonts w:ascii="Cambria" w:hAnsi="Cambria" w:cs="Arial"/>
          <w:sz w:val="20"/>
          <w:szCs w:val="20"/>
        </w:rPr>
      </w:pPr>
      <w:r>
        <w:rPr>
          <w:rFonts w:ascii="Cambria" w:hAnsi="Cambria" w:eastAsia="Times New Roman" w:cs="Arial"/>
          <w:b/>
          <w:sz w:val="20"/>
          <w:szCs w:val="20"/>
        </w:rPr>
        <w:t>Resilient Homestead and Livelihood Support to the Vulnerable Coastal People of Bangladesh (RHL) Project</w:t>
      </w:r>
    </w:p>
    <w:p w14:paraId="567CE339">
      <w:pPr>
        <w:pStyle w:val="11"/>
        <w:widowControl/>
        <w:autoSpaceDE/>
        <w:adjustRightInd/>
        <w:spacing w:line="23" w:lineRule="atLeast"/>
        <w:ind w:left="720" w:hanging="720"/>
        <w:jc w:val="both"/>
        <w:rPr>
          <w:rFonts w:ascii="Cambria" w:hAnsi="Cambria" w:cs="Arial"/>
          <w:b/>
          <w:bCs/>
          <w:sz w:val="24"/>
        </w:rPr>
      </w:pPr>
      <w:r>
        <w:rPr>
          <w:rFonts w:ascii="Cambria" w:hAnsi="Cambria" w:cs="Arial"/>
          <w:b/>
          <w:bCs/>
          <w:sz w:val="24"/>
        </w:rPr>
        <w:t>1. Basic Information</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43"/>
        <w:gridCol w:w="283"/>
        <w:gridCol w:w="6216"/>
      </w:tblGrid>
      <w:tr w14:paraId="52355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84" w:type="pct"/>
          </w:tcPr>
          <w:p w14:paraId="3CC48009">
            <w:pPr>
              <w:pStyle w:val="11"/>
              <w:widowControl/>
              <w:autoSpaceDE/>
              <w:adjustRightInd/>
              <w:spacing w:line="23" w:lineRule="atLeast"/>
              <w:jc w:val="both"/>
              <w:rPr>
                <w:rFonts w:ascii="Cambria" w:hAnsi="Cambria" w:cs="Arial"/>
                <w:b/>
                <w:bCs/>
                <w:sz w:val="24"/>
              </w:rPr>
            </w:pPr>
            <w:r>
              <w:rPr>
                <w:rFonts w:ascii="Cambria" w:hAnsi="Cambria" w:cs="Arial"/>
                <w:b/>
                <w:sz w:val="22"/>
                <w:szCs w:val="22"/>
              </w:rPr>
              <w:t>Title</w:t>
            </w:r>
            <w:r>
              <w:rPr>
                <w:rFonts w:ascii="Cambria" w:hAnsi="Cambria" w:cs="Arial"/>
                <w:bCs/>
                <w:sz w:val="22"/>
                <w:szCs w:val="22"/>
              </w:rPr>
              <w:t xml:space="preserve"> </w:t>
            </w:r>
            <w:r>
              <w:rPr>
                <w:rFonts w:ascii="Cambria" w:hAnsi="Cambria" w:cs="Arial"/>
                <w:b/>
                <w:sz w:val="22"/>
                <w:szCs w:val="22"/>
              </w:rPr>
              <w:t>of the Position</w:t>
            </w:r>
          </w:p>
        </w:tc>
        <w:tc>
          <w:tcPr>
            <w:tcW w:w="153" w:type="pct"/>
          </w:tcPr>
          <w:p w14:paraId="01028A14">
            <w:pPr>
              <w:pStyle w:val="11"/>
              <w:widowControl/>
              <w:autoSpaceDE/>
              <w:adjustRightInd/>
              <w:spacing w:line="23" w:lineRule="atLeast"/>
              <w:jc w:val="both"/>
              <w:rPr>
                <w:rFonts w:ascii="Cambria" w:hAnsi="Cambria" w:cs="Arial"/>
                <w:bCs/>
                <w:sz w:val="22"/>
                <w:szCs w:val="22"/>
              </w:rPr>
            </w:pPr>
            <w:r>
              <w:rPr>
                <w:rFonts w:ascii="Cambria" w:hAnsi="Cambria" w:cs="Arial"/>
                <w:bCs/>
                <w:sz w:val="22"/>
                <w:szCs w:val="22"/>
              </w:rPr>
              <w:t>:</w:t>
            </w:r>
          </w:p>
        </w:tc>
        <w:tc>
          <w:tcPr>
            <w:tcW w:w="3363" w:type="pct"/>
          </w:tcPr>
          <w:p w14:paraId="5970A9F7">
            <w:pPr>
              <w:pStyle w:val="11"/>
              <w:widowControl/>
              <w:autoSpaceDE/>
              <w:adjustRightInd/>
              <w:spacing w:line="23" w:lineRule="atLeast"/>
              <w:jc w:val="both"/>
              <w:rPr>
                <w:rFonts w:ascii="Cambria" w:hAnsi="Cambria" w:cs="Arial"/>
                <w:b/>
                <w:bCs/>
                <w:sz w:val="24"/>
              </w:rPr>
            </w:pPr>
            <w:r>
              <w:rPr>
                <w:rFonts w:ascii="Cambria" w:hAnsi="Cambria" w:cs="Arial"/>
                <w:bCs/>
                <w:sz w:val="22"/>
                <w:szCs w:val="22"/>
              </w:rPr>
              <w:t>Technical Officer (Aquaculture)</w:t>
            </w:r>
          </w:p>
        </w:tc>
      </w:tr>
      <w:tr w14:paraId="66402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84" w:type="pct"/>
          </w:tcPr>
          <w:p w14:paraId="63E26332">
            <w:pPr>
              <w:pStyle w:val="11"/>
              <w:widowControl/>
              <w:autoSpaceDE/>
              <w:adjustRightInd/>
              <w:spacing w:line="23" w:lineRule="atLeast"/>
              <w:jc w:val="both"/>
              <w:rPr>
                <w:rFonts w:ascii="Cambria" w:hAnsi="Cambria" w:cs="Arial"/>
                <w:b/>
                <w:bCs/>
                <w:sz w:val="24"/>
              </w:rPr>
            </w:pPr>
            <w:r>
              <w:rPr>
                <w:rFonts w:ascii="Cambria" w:hAnsi="Cambria" w:cs="Arial"/>
                <w:b/>
                <w:sz w:val="22"/>
                <w:szCs w:val="22"/>
              </w:rPr>
              <w:t>Number of Position</w:t>
            </w:r>
          </w:p>
        </w:tc>
        <w:tc>
          <w:tcPr>
            <w:tcW w:w="153" w:type="pct"/>
          </w:tcPr>
          <w:p w14:paraId="630FC6E1">
            <w:pPr>
              <w:pStyle w:val="11"/>
              <w:widowControl/>
              <w:autoSpaceDE/>
              <w:adjustRightInd/>
              <w:spacing w:line="23" w:lineRule="atLeast"/>
              <w:jc w:val="both"/>
              <w:rPr>
                <w:rFonts w:ascii="Cambria" w:hAnsi="Cambria" w:cs="Arial"/>
                <w:bCs/>
                <w:sz w:val="22"/>
                <w:szCs w:val="22"/>
              </w:rPr>
            </w:pPr>
            <w:r>
              <w:rPr>
                <w:rFonts w:ascii="Cambria" w:hAnsi="Cambria" w:cs="Arial"/>
                <w:bCs/>
                <w:sz w:val="22"/>
                <w:szCs w:val="22"/>
              </w:rPr>
              <w:t>:</w:t>
            </w:r>
          </w:p>
        </w:tc>
        <w:tc>
          <w:tcPr>
            <w:tcW w:w="3363" w:type="pct"/>
          </w:tcPr>
          <w:p w14:paraId="7F046268">
            <w:pPr>
              <w:pStyle w:val="11"/>
              <w:widowControl/>
              <w:autoSpaceDE/>
              <w:adjustRightInd/>
              <w:spacing w:line="23" w:lineRule="atLeast"/>
              <w:jc w:val="both"/>
              <w:rPr>
                <w:rFonts w:ascii="Cambria" w:hAnsi="Cambria" w:cs="Arial"/>
                <w:b/>
                <w:bCs/>
                <w:sz w:val="24"/>
              </w:rPr>
            </w:pPr>
            <w:r>
              <w:rPr>
                <w:rFonts w:ascii="Cambria" w:hAnsi="Cambria" w:cs="Arial"/>
                <w:bCs/>
                <w:sz w:val="22"/>
                <w:szCs w:val="22"/>
              </w:rPr>
              <w:t>01</w:t>
            </w:r>
          </w:p>
        </w:tc>
      </w:tr>
      <w:tr w14:paraId="2A428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84" w:type="pct"/>
          </w:tcPr>
          <w:p w14:paraId="4686736A">
            <w:pPr>
              <w:pStyle w:val="11"/>
              <w:widowControl/>
              <w:autoSpaceDE/>
              <w:adjustRightInd/>
              <w:spacing w:line="23" w:lineRule="atLeast"/>
              <w:jc w:val="both"/>
              <w:rPr>
                <w:rFonts w:ascii="Cambria" w:hAnsi="Cambria" w:cs="Arial"/>
                <w:b/>
                <w:bCs/>
                <w:sz w:val="24"/>
              </w:rPr>
            </w:pPr>
            <w:r>
              <w:rPr>
                <w:rFonts w:ascii="Cambria" w:hAnsi="Cambria" w:cs="Arial"/>
                <w:b/>
                <w:sz w:val="22"/>
                <w:szCs w:val="22"/>
              </w:rPr>
              <w:t>Location</w:t>
            </w:r>
          </w:p>
        </w:tc>
        <w:tc>
          <w:tcPr>
            <w:tcW w:w="153" w:type="pct"/>
          </w:tcPr>
          <w:p w14:paraId="0D4C099C">
            <w:pPr>
              <w:pStyle w:val="11"/>
              <w:widowControl/>
              <w:autoSpaceDE/>
              <w:adjustRightInd/>
              <w:spacing w:line="23" w:lineRule="atLeast"/>
              <w:jc w:val="both"/>
              <w:rPr>
                <w:rFonts w:ascii="Cambria" w:hAnsi="Cambria" w:cs="Arial"/>
                <w:bCs/>
                <w:sz w:val="22"/>
                <w:szCs w:val="22"/>
              </w:rPr>
            </w:pPr>
            <w:r>
              <w:rPr>
                <w:rFonts w:ascii="Cambria" w:hAnsi="Cambria" w:cs="Arial"/>
                <w:bCs/>
                <w:sz w:val="22"/>
                <w:szCs w:val="22"/>
              </w:rPr>
              <w:t>:</w:t>
            </w:r>
          </w:p>
        </w:tc>
        <w:tc>
          <w:tcPr>
            <w:tcW w:w="3363" w:type="pct"/>
          </w:tcPr>
          <w:p w14:paraId="2F069302">
            <w:pPr>
              <w:pStyle w:val="11"/>
              <w:widowControl/>
              <w:autoSpaceDE/>
              <w:adjustRightInd/>
              <w:spacing w:line="23" w:lineRule="atLeast"/>
              <w:jc w:val="both"/>
              <w:rPr>
                <w:rFonts w:ascii="Cambria" w:hAnsi="Cambria" w:cs="Arial"/>
                <w:b/>
                <w:bCs/>
                <w:sz w:val="24"/>
              </w:rPr>
            </w:pPr>
            <w:r>
              <w:rPr>
                <w:rFonts w:ascii="Cambria" w:hAnsi="Cambria" w:cs="Arial"/>
                <w:bCs/>
                <w:sz w:val="22"/>
                <w:szCs w:val="22"/>
              </w:rPr>
              <w:t xml:space="preserve">Moheshkhali Upazila of Cox’s Bazar, District, with at least 60% of the time </w:t>
            </w:r>
            <w:r>
              <w:rPr>
                <w:rFonts w:ascii="Cambria" w:hAnsi="Cambria" w:cs="Arial"/>
                <w:sz w:val="22"/>
                <w:szCs w:val="22"/>
              </w:rPr>
              <w:t>spent on field visits in the project areas</w:t>
            </w:r>
          </w:p>
        </w:tc>
      </w:tr>
      <w:tr w14:paraId="7C6E2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84" w:type="pct"/>
          </w:tcPr>
          <w:p w14:paraId="54CDD5E6">
            <w:pPr>
              <w:pStyle w:val="11"/>
              <w:widowControl/>
              <w:autoSpaceDE/>
              <w:adjustRightInd/>
              <w:spacing w:line="23" w:lineRule="atLeast"/>
              <w:jc w:val="both"/>
              <w:rPr>
                <w:rFonts w:ascii="Cambria" w:hAnsi="Cambria" w:cs="Arial"/>
                <w:b/>
                <w:bCs/>
                <w:sz w:val="24"/>
              </w:rPr>
            </w:pPr>
            <w:r>
              <w:rPr>
                <w:rFonts w:ascii="Cambria" w:hAnsi="Cambria" w:cs="Arial"/>
                <w:b/>
                <w:sz w:val="22"/>
                <w:szCs w:val="22"/>
              </w:rPr>
              <w:t>Report to</w:t>
            </w:r>
          </w:p>
        </w:tc>
        <w:tc>
          <w:tcPr>
            <w:tcW w:w="153" w:type="pct"/>
          </w:tcPr>
          <w:p w14:paraId="1E9A402A">
            <w:pPr>
              <w:pStyle w:val="11"/>
              <w:widowControl/>
              <w:autoSpaceDE/>
              <w:adjustRightInd/>
              <w:spacing w:line="23" w:lineRule="atLeast"/>
              <w:jc w:val="both"/>
              <w:rPr>
                <w:rFonts w:ascii="Cambria" w:hAnsi="Cambria" w:cs="Arial"/>
                <w:bCs/>
                <w:sz w:val="22"/>
                <w:szCs w:val="22"/>
              </w:rPr>
            </w:pPr>
            <w:r>
              <w:rPr>
                <w:rFonts w:ascii="Cambria" w:hAnsi="Cambria" w:cs="Arial"/>
                <w:bCs/>
                <w:sz w:val="22"/>
                <w:szCs w:val="22"/>
              </w:rPr>
              <w:t>:</w:t>
            </w:r>
          </w:p>
        </w:tc>
        <w:tc>
          <w:tcPr>
            <w:tcW w:w="3363" w:type="pct"/>
          </w:tcPr>
          <w:p w14:paraId="7793CEB7">
            <w:pPr>
              <w:pStyle w:val="11"/>
              <w:widowControl/>
              <w:autoSpaceDE/>
              <w:adjustRightInd/>
              <w:spacing w:line="23" w:lineRule="atLeast"/>
              <w:jc w:val="both"/>
              <w:rPr>
                <w:rFonts w:ascii="Cambria" w:hAnsi="Cambria" w:cs="Arial"/>
                <w:b/>
                <w:bCs/>
                <w:sz w:val="24"/>
              </w:rPr>
            </w:pPr>
            <w:r>
              <w:rPr>
                <w:rFonts w:ascii="Cambria" w:hAnsi="Cambria" w:cs="Arial"/>
                <w:bCs/>
                <w:sz w:val="22"/>
                <w:szCs w:val="22"/>
              </w:rPr>
              <w:t>Project Coordinator (PC)</w:t>
            </w:r>
          </w:p>
        </w:tc>
      </w:tr>
      <w:tr w14:paraId="6D507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84" w:type="pct"/>
          </w:tcPr>
          <w:p w14:paraId="29D389D9">
            <w:pPr>
              <w:pStyle w:val="11"/>
              <w:widowControl/>
              <w:autoSpaceDE/>
              <w:adjustRightInd/>
              <w:spacing w:line="23" w:lineRule="atLeast"/>
              <w:jc w:val="both"/>
              <w:rPr>
                <w:rFonts w:ascii="Cambria" w:hAnsi="Cambria" w:cs="Arial"/>
                <w:b/>
                <w:bCs/>
                <w:sz w:val="24"/>
              </w:rPr>
            </w:pPr>
            <w:r>
              <w:rPr>
                <w:rFonts w:ascii="Cambria" w:hAnsi="Cambria" w:cs="Arial"/>
                <w:b/>
                <w:sz w:val="22"/>
                <w:szCs w:val="22"/>
              </w:rPr>
              <w:t>Duration of the Position</w:t>
            </w:r>
          </w:p>
        </w:tc>
        <w:tc>
          <w:tcPr>
            <w:tcW w:w="153" w:type="pct"/>
          </w:tcPr>
          <w:p w14:paraId="6FAE8F76">
            <w:pPr>
              <w:pStyle w:val="11"/>
              <w:widowControl/>
              <w:autoSpaceDE/>
              <w:adjustRightInd/>
              <w:spacing w:line="23" w:lineRule="atLeast"/>
              <w:jc w:val="both"/>
              <w:rPr>
                <w:rFonts w:ascii="Cambria" w:hAnsi="Cambria" w:cs="Arial"/>
                <w:bCs/>
                <w:sz w:val="22"/>
                <w:szCs w:val="22"/>
              </w:rPr>
            </w:pPr>
            <w:r>
              <w:rPr>
                <w:rFonts w:ascii="Cambria" w:hAnsi="Cambria" w:cs="Arial"/>
                <w:bCs/>
                <w:sz w:val="22"/>
                <w:szCs w:val="22"/>
              </w:rPr>
              <w:t>:</w:t>
            </w:r>
          </w:p>
        </w:tc>
        <w:tc>
          <w:tcPr>
            <w:tcW w:w="3363" w:type="pct"/>
          </w:tcPr>
          <w:p w14:paraId="335C0C4B">
            <w:pPr>
              <w:pStyle w:val="11"/>
              <w:widowControl/>
              <w:autoSpaceDE/>
              <w:adjustRightInd/>
              <w:spacing w:line="23" w:lineRule="atLeast"/>
              <w:jc w:val="both"/>
              <w:rPr>
                <w:rFonts w:ascii="Cambria" w:hAnsi="Cambria" w:cs="Arial"/>
                <w:b/>
                <w:bCs/>
                <w:sz w:val="24"/>
              </w:rPr>
            </w:pPr>
            <w:r>
              <w:rPr>
                <w:rFonts w:ascii="Cambria" w:hAnsi="Cambria" w:cs="Arial"/>
                <w:bCs/>
                <w:sz w:val="22"/>
                <w:szCs w:val="22"/>
              </w:rPr>
              <w:t xml:space="preserve">Initially for one year </w:t>
            </w:r>
            <w:r>
              <w:rPr>
                <w:rFonts w:ascii="Cambria" w:hAnsi="Cambria" w:cs="Arial"/>
                <w:sz w:val="22"/>
                <w:szCs w:val="22"/>
              </w:rPr>
              <w:t>with the possibility of annual renewal up to project periods.</w:t>
            </w:r>
          </w:p>
        </w:tc>
      </w:tr>
      <w:tr w14:paraId="78640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84" w:type="pct"/>
          </w:tcPr>
          <w:p w14:paraId="43057D09">
            <w:pPr>
              <w:pStyle w:val="11"/>
              <w:widowControl/>
              <w:autoSpaceDE/>
              <w:adjustRightInd/>
              <w:spacing w:line="23" w:lineRule="atLeast"/>
              <w:jc w:val="both"/>
              <w:rPr>
                <w:rFonts w:ascii="Cambria" w:hAnsi="Cambria" w:cs="Arial"/>
                <w:b/>
                <w:bCs/>
                <w:sz w:val="24"/>
              </w:rPr>
            </w:pPr>
            <w:r>
              <w:rPr>
                <w:rFonts w:ascii="Cambria" w:hAnsi="Cambria" w:cs="Arial"/>
                <w:b/>
                <w:sz w:val="22"/>
                <w:szCs w:val="22"/>
              </w:rPr>
              <w:t>Salary (Gross)</w:t>
            </w:r>
          </w:p>
        </w:tc>
        <w:tc>
          <w:tcPr>
            <w:tcW w:w="153" w:type="pct"/>
          </w:tcPr>
          <w:p w14:paraId="403887AC">
            <w:pPr>
              <w:pStyle w:val="11"/>
              <w:widowControl/>
              <w:autoSpaceDE/>
              <w:adjustRightInd/>
              <w:spacing w:line="23" w:lineRule="atLeast"/>
              <w:jc w:val="both"/>
              <w:rPr>
                <w:rFonts w:ascii="Cambria" w:hAnsi="Cambria" w:cs="Arial"/>
                <w:bCs/>
                <w:sz w:val="22"/>
                <w:szCs w:val="22"/>
              </w:rPr>
            </w:pPr>
            <w:r>
              <w:rPr>
                <w:rFonts w:ascii="Cambria" w:hAnsi="Cambria" w:cs="Arial"/>
                <w:bCs/>
                <w:sz w:val="22"/>
                <w:szCs w:val="22"/>
              </w:rPr>
              <w:t>:</w:t>
            </w:r>
          </w:p>
        </w:tc>
        <w:tc>
          <w:tcPr>
            <w:tcW w:w="3363" w:type="pct"/>
          </w:tcPr>
          <w:p w14:paraId="449A8EC5">
            <w:pPr>
              <w:pStyle w:val="11"/>
              <w:widowControl/>
              <w:autoSpaceDE/>
              <w:adjustRightInd/>
              <w:spacing w:line="23" w:lineRule="atLeast"/>
              <w:jc w:val="both"/>
              <w:rPr>
                <w:rFonts w:ascii="Cambria" w:hAnsi="Cambria" w:cs="Arial"/>
                <w:b/>
                <w:bCs/>
                <w:sz w:val="24"/>
              </w:rPr>
            </w:pPr>
            <w:r>
              <w:rPr>
                <w:rFonts w:ascii="Cambria" w:hAnsi="Cambria" w:cs="Arial"/>
                <w:bCs/>
                <w:sz w:val="22"/>
                <w:szCs w:val="22"/>
              </w:rPr>
              <w:t xml:space="preserve">Monthly BDT </w:t>
            </w:r>
            <w:r>
              <w:rPr>
                <w:rFonts w:hint="default" w:ascii="Cambria" w:hAnsi="Cambria" w:cs="Arial"/>
                <w:bCs/>
                <w:sz w:val="22"/>
                <w:szCs w:val="22"/>
                <w:lang w:val="en-US"/>
              </w:rPr>
              <w:t>60,000</w:t>
            </w:r>
            <w:r>
              <w:rPr>
                <w:rFonts w:ascii="Cambria" w:hAnsi="Cambria" w:cs="Arial"/>
                <w:bCs/>
                <w:sz w:val="22"/>
                <w:szCs w:val="22"/>
              </w:rPr>
              <w:t xml:space="preserve">/- </w:t>
            </w:r>
            <w:r>
              <w:rPr>
                <w:rFonts w:hint="default" w:ascii="Cambria" w:hAnsi="Cambria" w:cs="Arial"/>
                <w:bCs/>
                <w:sz w:val="22"/>
                <w:szCs w:val="22"/>
                <w:lang w:val="en-US"/>
              </w:rPr>
              <w:t xml:space="preserve">++ </w:t>
            </w:r>
            <w:r>
              <w:rPr>
                <w:rFonts w:ascii="Cambria" w:hAnsi="Cambria" w:cs="Arial"/>
                <w:bCs/>
                <w:sz w:val="22"/>
                <w:szCs w:val="22"/>
              </w:rPr>
              <w:t>and other admissible benefits</w:t>
            </w:r>
          </w:p>
        </w:tc>
      </w:tr>
      <w:tr w14:paraId="6D0A2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84" w:type="pct"/>
          </w:tcPr>
          <w:p w14:paraId="30682A52">
            <w:pPr>
              <w:pStyle w:val="11"/>
              <w:widowControl/>
              <w:autoSpaceDE/>
              <w:adjustRightInd/>
              <w:spacing w:line="23" w:lineRule="atLeast"/>
              <w:jc w:val="both"/>
              <w:rPr>
                <w:rFonts w:ascii="Cambria" w:hAnsi="Cambria" w:cs="Arial"/>
                <w:b/>
                <w:bCs/>
                <w:sz w:val="24"/>
              </w:rPr>
            </w:pPr>
            <w:r>
              <w:rPr>
                <w:rFonts w:ascii="Cambria" w:hAnsi="Cambria" w:cs="Arial"/>
                <w:b/>
                <w:sz w:val="22"/>
                <w:szCs w:val="22"/>
              </w:rPr>
              <w:t>Age Limit</w:t>
            </w:r>
          </w:p>
        </w:tc>
        <w:tc>
          <w:tcPr>
            <w:tcW w:w="153" w:type="pct"/>
          </w:tcPr>
          <w:p w14:paraId="12509EF6">
            <w:pPr>
              <w:pStyle w:val="11"/>
              <w:widowControl/>
              <w:autoSpaceDE/>
              <w:adjustRightInd/>
              <w:spacing w:line="23" w:lineRule="atLeast"/>
              <w:jc w:val="both"/>
              <w:rPr>
                <w:rFonts w:ascii="Cambria" w:hAnsi="Cambria" w:cs="Arial"/>
                <w:bCs/>
                <w:sz w:val="22"/>
                <w:szCs w:val="22"/>
              </w:rPr>
            </w:pPr>
            <w:r>
              <w:rPr>
                <w:rFonts w:ascii="Cambria" w:hAnsi="Cambria" w:cs="Arial"/>
                <w:bCs/>
                <w:sz w:val="22"/>
                <w:szCs w:val="22"/>
              </w:rPr>
              <w:t>:</w:t>
            </w:r>
          </w:p>
        </w:tc>
        <w:tc>
          <w:tcPr>
            <w:tcW w:w="3363" w:type="pct"/>
          </w:tcPr>
          <w:p w14:paraId="272C6422">
            <w:pPr>
              <w:pStyle w:val="11"/>
              <w:widowControl/>
              <w:autoSpaceDE/>
              <w:adjustRightInd/>
              <w:spacing w:line="23" w:lineRule="atLeast"/>
              <w:jc w:val="both"/>
              <w:rPr>
                <w:rFonts w:ascii="Cambria" w:hAnsi="Cambria" w:cs="Arial"/>
                <w:b/>
                <w:bCs/>
                <w:sz w:val="24"/>
              </w:rPr>
            </w:pPr>
            <w:r>
              <w:rPr>
                <w:rFonts w:ascii="Cambria" w:hAnsi="Cambria" w:cs="Arial"/>
                <w:bCs/>
                <w:sz w:val="22"/>
                <w:szCs w:val="22"/>
              </w:rPr>
              <w:t>Maximum 40 years</w:t>
            </w:r>
          </w:p>
        </w:tc>
      </w:tr>
      <w:tr w14:paraId="10891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84" w:type="pct"/>
          </w:tcPr>
          <w:p w14:paraId="3956EF79">
            <w:pPr>
              <w:pStyle w:val="11"/>
              <w:widowControl/>
              <w:autoSpaceDE/>
              <w:adjustRightInd/>
              <w:spacing w:line="23" w:lineRule="atLeast"/>
              <w:jc w:val="both"/>
              <w:rPr>
                <w:rFonts w:ascii="Cambria" w:hAnsi="Cambria" w:cs="Arial"/>
                <w:b/>
                <w:bCs/>
                <w:sz w:val="24"/>
              </w:rPr>
            </w:pPr>
            <w:r>
              <w:rPr>
                <w:rFonts w:ascii="Cambria" w:hAnsi="Cambria" w:cs="Arial"/>
                <w:b/>
                <w:sz w:val="22"/>
                <w:szCs w:val="22"/>
              </w:rPr>
              <w:t>Experience</w:t>
            </w:r>
          </w:p>
        </w:tc>
        <w:tc>
          <w:tcPr>
            <w:tcW w:w="153" w:type="pct"/>
          </w:tcPr>
          <w:p w14:paraId="1F9A6CFB">
            <w:pPr>
              <w:pStyle w:val="11"/>
              <w:widowControl/>
              <w:autoSpaceDE/>
              <w:adjustRightInd/>
              <w:spacing w:line="23" w:lineRule="atLeast"/>
              <w:jc w:val="both"/>
              <w:rPr>
                <w:rFonts w:ascii="Cambria" w:hAnsi="Cambria" w:cs="Arial"/>
                <w:bCs/>
                <w:sz w:val="22"/>
                <w:szCs w:val="22"/>
              </w:rPr>
            </w:pPr>
            <w:r>
              <w:rPr>
                <w:rFonts w:ascii="Cambria" w:hAnsi="Cambria" w:cs="Arial"/>
                <w:bCs/>
                <w:sz w:val="22"/>
                <w:szCs w:val="22"/>
              </w:rPr>
              <w:t>:</w:t>
            </w:r>
          </w:p>
        </w:tc>
        <w:tc>
          <w:tcPr>
            <w:tcW w:w="3363" w:type="pct"/>
          </w:tcPr>
          <w:p w14:paraId="572DBBC3">
            <w:pPr>
              <w:pStyle w:val="11"/>
              <w:widowControl/>
              <w:autoSpaceDE/>
              <w:adjustRightInd/>
              <w:spacing w:line="23" w:lineRule="atLeast"/>
              <w:jc w:val="both"/>
              <w:rPr>
                <w:rFonts w:ascii="Cambria" w:hAnsi="Cambria" w:cs="Arial"/>
                <w:b/>
                <w:bCs/>
                <w:sz w:val="24"/>
              </w:rPr>
            </w:pPr>
            <w:bookmarkStart w:id="0" w:name="_Hlk160961778"/>
            <w:r>
              <w:rPr>
                <w:rFonts w:ascii="Cambria" w:hAnsi="Cambria" w:cs="Arial"/>
                <w:bCs/>
                <w:sz w:val="22"/>
                <w:szCs w:val="22"/>
              </w:rPr>
              <w:t>Minimum</w:t>
            </w:r>
            <w:r>
              <w:rPr>
                <w:rFonts w:ascii="Cambria" w:hAnsi="Cambria" w:cs="Arial"/>
                <w:b/>
                <w:sz w:val="22"/>
                <w:szCs w:val="22"/>
              </w:rPr>
              <w:t xml:space="preserve"> </w:t>
            </w:r>
            <w:r>
              <w:rPr>
                <w:rFonts w:ascii="Cambria" w:hAnsi="Cambria" w:cs="Arial"/>
                <w:bCs/>
                <w:sz w:val="22"/>
                <w:szCs w:val="22"/>
              </w:rPr>
              <w:t xml:space="preserve">5 years with at least 3 years of professional experience of technical support in </w:t>
            </w:r>
            <w:bookmarkEnd w:id="0"/>
            <w:r>
              <w:rPr>
                <w:rFonts w:ascii="Cambria" w:hAnsi="Cambria" w:cs="Arial"/>
                <w:bCs/>
                <w:sz w:val="22"/>
                <w:szCs w:val="22"/>
              </w:rPr>
              <w:t>aquaculture supply chain.</w:t>
            </w:r>
          </w:p>
        </w:tc>
      </w:tr>
    </w:tbl>
    <w:p w14:paraId="517A6E30">
      <w:pPr>
        <w:pStyle w:val="11"/>
        <w:widowControl/>
        <w:autoSpaceDE/>
        <w:adjustRightInd/>
        <w:spacing w:line="23" w:lineRule="atLeast"/>
        <w:ind w:left="720" w:hanging="720"/>
        <w:jc w:val="both"/>
        <w:rPr>
          <w:rFonts w:ascii="Cambria" w:hAnsi="Cambria" w:cs="Arial"/>
          <w:b/>
          <w:bCs/>
          <w:sz w:val="12"/>
          <w:szCs w:val="12"/>
        </w:rPr>
      </w:pPr>
    </w:p>
    <w:p w14:paraId="31CFDED4">
      <w:pPr>
        <w:pStyle w:val="5"/>
        <w:spacing w:before="0" w:line="276" w:lineRule="auto"/>
        <w:jc w:val="both"/>
        <w:rPr>
          <w:rFonts w:ascii="Cambria" w:hAnsi="Cambria" w:cs="Arial"/>
          <w:b/>
          <w:sz w:val="24"/>
        </w:rPr>
      </w:pPr>
      <w:r>
        <w:rPr>
          <w:rFonts w:ascii="Cambria" w:hAnsi="Cambria" w:cs="Arial"/>
          <w:b/>
          <w:sz w:val="24"/>
        </w:rPr>
        <w:t xml:space="preserve">2. Background of the project: </w:t>
      </w:r>
    </w:p>
    <w:p w14:paraId="32BD69C4">
      <w:pPr>
        <w:pStyle w:val="11"/>
        <w:jc w:val="both"/>
        <w:rPr>
          <w:rFonts w:ascii="Cambria" w:hAnsi="Cambria" w:cstheme="majorBidi"/>
          <w:sz w:val="24"/>
        </w:rPr>
      </w:pPr>
      <w:r>
        <w:rPr>
          <w:rFonts w:ascii="Cambria" w:hAnsi="Cambria" w:cstheme="majorBidi"/>
          <w:sz w:val="24"/>
        </w:rPr>
        <w:t xml:space="preserve">Bangladesh's coastal zone's geographical location and low elevation make it vulnerable to disasters and climate change poses a new challenge to the lives and livelihoods in the coastal region. The vulnerability of these coastal people can be defined in three ways: </w:t>
      </w:r>
      <w:r>
        <w:rPr>
          <w:rFonts w:ascii="Cambria" w:hAnsi="Cambria"/>
          <w:bCs/>
          <w:sz w:val="24"/>
        </w:rPr>
        <w:t xml:space="preserve">climate-sensitive livelihoods, vulnerable settlements in low-lying areas, and scarcity of safe drinking water. Many coastal residents depend on seasonal subsistence agriculture and agriculture wage labor, which are highly climate-sensitive. Moreover, many coastal inhabitants live in houses built of mud and plants severely affected by cyclones, storm surges, and high tides. The lack of climate-resilient housing poses a serious poverty trap as significant portions of the incomes of coastal communities go towards house repairs. Under this circumstance, to develop a climate-adaptive coastal community in Bangladesh by adopting climate-resilient housing and livelihood technologies, the Green Climate Fund (GCF) under the United Nations Framework Convention of Climate Change (UNFCCC) approved </w:t>
      </w:r>
      <w:r>
        <w:rPr>
          <w:rFonts w:ascii="Cambria" w:hAnsi="Cambria"/>
          <w:bCs/>
          <w:i/>
          <w:iCs/>
          <w:sz w:val="24"/>
        </w:rPr>
        <w:t>“Resilient Homestead and Livelihood Support to the Vulnerable Coastal People of Bangladesh (RHL),”</w:t>
      </w:r>
      <w:r>
        <w:rPr>
          <w:rFonts w:ascii="Cambria" w:hAnsi="Cambria"/>
          <w:bCs/>
          <w:sz w:val="24"/>
        </w:rPr>
        <w:t xml:space="preserve"> a five-year project (from September 2023 to August 2028).</w:t>
      </w:r>
      <w:r>
        <w:rPr>
          <w:rFonts w:ascii="Cambria" w:hAnsi="Cambria" w:cstheme="majorBidi"/>
          <w:sz w:val="24"/>
        </w:rPr>
        <w:t xml:space="preserve"> The project has chosen seven exposed coastal districts, namely Khulna, Bagerhat, Satkhira, Barguna, Patuakhali, Bhola, and Cox’s Bazar, which are particularly vulnerable to sea level rise, salinity intrusion, coastal flooding, cyclones, and storm surges due to their geographical position (</w:t>
      </w:r>
      <w:r>
        <w:rPr>
          <w:rFonts w:ascii="Cambria" w:hAnsi="Cambria"/>
          <w:bCs/>
          <w:sz w:val="24"/>
        </w:rPr>
        <w:t>for details about PKSF, please visit</w:t>
      </w:r>
      <w:r>
        <w:rPr>
          <w:rFonts w:ascii="Cambria" w:hAnsi="Cambria" w:cs="Shonar Bangla"/>
          <w:sz w:val="24"/>
        </w:rPr>
        <w:t xml:space="preserve"> </w:t>
      </w:r>
      <w:r>
        <w:rPr>
          <w:rFonts w:ascii="Cambria" w:hAnsi="Cambria" w:cstheme="majorBidi"/>
          <w:sz w:val="24"/>
        </w:rPr>
        <w:t>https://www.greenclimate.fund/project/fp206).</w:t>
      </w:r>
      <w:r>
        <w:rPr>
          <w:rFonts w:ascii="Cambria" w:hAnsi="Cambria"/>
          <w:bCs/>
          <w:sz w:val="24"/>
        </w:rPr>
        <w:t>The primary goal of the RHL project is to enhance the climate resilience of the vulnerable coastal communities of Bangladesh. PKSF will implement the project (for details about PKSF, please visit</w:t>
      </w:r>
      <w:r>
        <w:rPr>
          <w:rFonts w:ascii="Cambria" w:hAnsi="Cambria" w:cs="Shonar Bangla"/>
          <w:sz w:val="24"/>
        </w:rPr>
        <w:t xml:space="preserve"> </w:t>
      </w:r>
      <w:r>
        <w:fldChar w:fldCharType="begin"/>
      </w:r>
      <w:r>
        <w:instrText xml:space="preserve"> HYPERLINK "http://www.pksf.org.bd" </w:instrText>
      </w:r>
      <w:r>
        <w:fldChar w:fldCharType="separate"/>
      </w:r>
      <w:r>
        <w:rPr>
          <w:rStyle w:val="6"/>
          <w:rFonts w:ascii="Cambria" w:hAnsi="Cambria"/>
          <w:sz w:val="24"/>
        </w:rPr>
        <w:t>http://www.pksf.org.bd</w:t>
      </w:r>
      <w:r>
        <w:rPr>
          <w:rStyle w:val="6"/>
          <w:rFonts w:ascii="Cambria" w:hAnsi="Cambria"/>
          <w:sz w:val="24"/>
        </w:rPr>
        <w:fldChar w:fldCharType="end"/>
      </w:r>
      <w:r>
        <w:rPr>
          <w:rStyle w:val="6"/>
          <w:rFonts w:ascii="Cambria" w:hAnsi="Cambria"/>
          <w:sz w:val="24"/>
        </w:rPr>
        <w:t>)</w:t>
      </w:r>
      <w:r>
        <w:rPr>
          <w:rFonts w:ascii="Cambria" w:hAnsi="Cambria" w:cstheme="majorBidi"/>
          <w:sz w:val="24"/>
        </w:rPr>
        <w:t xml:space="preserve"> through its Partner Organizations (known as implementing Entities for this Project) as a Direct Access Entity (DAE) of GCF. </w:t>
      </w:r>
    </w:p>
    <w:p w14:paraId="278F59A0">
      <w:pPr>
        <w:pStyle w:val="5"/>
        <w:spacing w:before="0" w:line="276" w:lineRule="auto"/>
        <w:jc w:val="both"/>
        <w:rPr>
          <w:rFonts w:ascii="Cambria" w:hAnsi="Cambria" w:cs="Arial"/>
          <w:b/>
          <w:sz w:val="14"/>
          <w:szCs w:val="14"/>
        </w:rPr>
      </w:pPr>
    </w:p>
    <w:p w14:paraId="0769271F">
      <w:pPr>
        <w:spacing w:after="0" w:line="240" w:lineRule="auto"/>
        <w:ind w:right="4"/>
        <w:jc w:val="both"/>
        <w:rPr>
          <w:rFonts w:ascii="Cambria" w:hAnsi="Cambria" w:cs="Arial"/>
          <w:color w:val="FF0000"/>
          <w:sz w:val="24"/>
          <w:szCs w:val="24"/>
        </w:rPr>
      </w:pPr>
      <w:r>
        <w:rPr>
          <w:rFonts w:ascii="Cambria" w:hAnsi="Cambria" w:cs="Times New Roman"/>
          <w:bCs/>
          <w:sz w:val="24"/>
          <w:szCs w:val="24"/>
          <w:highlight w:val="yellow"/>
        </w:rPr>
        <w:t>[</w:t>
      </w:r>
      <w:r>
        <w:rPr>
          <w:rFonts w:ascii="Cambria" w:hAnsi="Cambria" w:cs="Times New Roman"/>
          <w:bCs/>
          <w:i/>
          <w:iCs/>
          <w:sz w:val="24"/>
          <w:szCs w:val="24"/>
          <w:highlight w:val="yellow"/>
        </w:rPr>
        <w:t>BASTOB-Initiative for People’s Self Development</w:t>
      </w:r>
      <w:r>
        <w:rPr>
          <w:rFonts w:ascii="Cambria" w:hAnsi="Cambria" w:cs="Times New Roman"/>
          <w:bCs/>
          <w:sz w:val="24"/>
          <w:szCs w:val="24"/>
          <w:highlight w:val="yellow"/>
        </w:rPr>
        <w:t>]</w:t>
      </w:r>
      <w:r>
        <w:rPr>
          <w:rFonts w:ascii="Cambria" w:hAnsi="Cambria" w:cs="Times New Roman"/>
          <w:bCs/>
          <w:sz w:val="24"/>
          <w:szCs w:val="24"/>
        </w:rPr>
        <w:t xml:space="preserve"> the Partner Or</w:t>
      </w:r>
      <w:r>
        <w:rPr>
          <w:rFonts w:ascii="Cambria" w:hAnsi="Cambria"/>
          <w:bCs/>
          <w:sz w:val="24"/>
          <w:szCs w:val="24"/>
        </w:rPr>
        <w:t>ga</w:t>
      </w:r>
      <w:r>
        <w:rPr>
          <w:rFonts w:ascii="Cambria" w:hAnsi="Cambria" w:cs="Times New Roman"/>
          <w:bCs/>
          <w:sz w:val="24"/>
          <w:szCs w:val="24"/>
        </w:rPr>
        <w:t xml:space="preserve">nization of PKSF will implement the RHL project in </w:t>
      </w:r>
      <w:r>
        <w:rPr>
          <w:rFonts w:ascii="Cambria" w:hAnsi="Cambria" w:cs="Times New Roman"/>
          <w:bCs/>
          <w:sz w:val="24"/>
          <w:szCs w:val="24"/>
          <w:highlight w:val="yellow"/>
        </w:rPr>
        <w:t>[</w:t>
      </w:r>
      <w:r>
        <w:rPr>
          <w:rFonts w:ascii="Cambria" w:hAnsi="Cambria" w:cs="Times New Roman"/>
          <w:bCs/>
          <w:i/>
          <w:iCs/>
          <w:sz w:val="24"/>
          <w:szCs w:val="24"/>
          <w:highlight w:val="yellow"/>
        </w:rPr>
        <w:t>Moheshkhali, Cox’s Bazar</w:t>
      </w:r>
      <w:r>
        <w:rPr>
          <w:rFonts w:ascii="Cambria" w:hAnsi="Cambria" w:cs="Times New Roman"/>
          <w:bCs/>
          <w:sz w:val="24"/>
          <w:szCs w:val="24"/>
          <w:highlight w:val="yellow"/>
        </w:rPr>
        <w:t>]</w:t>
      </w:r>
      <w:r>
        <w:rPr>
          <w:rFonts w:ascii="Cambria" w:hAnsi="Cambria" w:cs="Times New Roman"/>
          <w:bCs/>
          <w:sz w:val="24"/>
          <w:szCs w:val="24"/>
        </w:rPr>
        <w:t xml:space="preserve"> as an Implementing Entity (IE) of the RHL Project. </w:t>
      </w:r>
      <w:r>
        <w:rPr>
          <w:rFonts w:ascii="Cambria" w:hAnsi="Cambria"/>
          <w:bCs/>
          <w:sz w:val="24"/>
          <w:szCs w:val="24"/>
        </w:rPr>
        <w:t>For implementing the Project, [PO name] is seeking qualified candidates for the "</w:t>
      </w:r>
      <w:r>
        <w:t xml:space="preserve"> </w:t>
      </w:r>
      <w:r>
        <w:rPr>
          <w:rFonts w:ascii="Cambria" w:hAnsi="Cambria"/>
          <w:bCs/>
          <w:sz w:val="24"/>
          <w:szCs w:val="24"/>
        </w:rPr>
        <w:t>Technical Officer (Aquaculture)” post for its Project Management Unit (PMU).</w:t>
      </w:r>
      <w:r>
        <w:rPr>
          <w:rFonts w:ascii="Cambria" w:hAnsi="Cambria" w:cs="Arial"/>
          <w:b/>
          <w:bCs/>
          <w:color w:val="FF0000"/>
          <w:sz w:val="24"/>
          <w:szCs w:val="24"/>
          <w:lang w:val="en-GB"/>
        </w:rPr>
        <w:t xml:space="preserve"> </w:t>
      </w:r>
    </w:p>
    <w:p w14:paraId="6DEFBF66">
      <w:pPr>
        <w:spacing w:after="0" w:line="240" w:lineRule="auto"/>
        <w:rPr>
          <w:rFonts w:ascii="Cambria" w:hAnsi="Cambria" w:eastAsia="Calibri" w:cs="Calibri"/>
          <w:b/>
          <w:bCs/>
          <w:sz w:val="20"/>
          <w:szCs w:val="20"/>
        </w:rPr>
      </w:pPr>
      <w:r>
        <w:rPr>
          <w:rFonts w:ascii="Cambria" w:hAnsi="Cambria" w:eastAsia="Calibri" w:cs="Calibri"/>
          <w:b/>
          <w:bCs/>
          <w:sz w:val="20"/>
          <w:szCs w:val="20"/>
        </w:rPr>
        <w:br w:type="page"/>
      </w:r>
    </w:p>
    <w:p w14:paraId="02813BF9">
      <w:pPr>
        <w:spacing w:after="0"/>
        <w:rPr>
          <w:rFonts w:ascii="Cambria" w:hAnsi="Cambria"/>
          <w:sz w:val="24"/>
          <w:szCs w:val="24"/>
        </w:rPr>
      </w:pPr>
      <w:r>
        <w:rPr>
          <w:rFonts w:ascii="Cambria" w:hAnsi="Cambria" w:eastAsia="Calibri" w:cs="Calibri"/>
          <w:b/>
          <w:bCs/>
          <w:sz w:val="24"/>
          <w:szCs w:val="24"/>
        </w:rPr>
        <w:t>3. Key Responsibilities:</w:t>
      </w:r>
    </w:p>
    <w:p w14:paraId="5B4F8E23">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Support in the establishment of crab hatchery, carb nursing, and crab farming in a sustainable way, etc.</w:t>
      </w:r>
    </w:p>
    <w:p w14:paraId="160CC470">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Capacity building of the entrepreneur on Business Plan Development, Good Aquaculture Practice (GAqP), Traceability, etc.</w:t>
      </w:r>
    </w:p>
    <w:p w14:paraId="02D8A980">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Assist in linking crablet and crab producer with input supplier.</w:t>
      </w:r>
    </w:p>
    <w:p w14:paraId="4CEB3870">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 xml:space="preserve">Identify proven climate-smart aquaculture technology and disseminate the technology to the coastal communities. </w:t>
      </w:r>
    </w:p>
    <w:p w14:paraId="76E10F95">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Establish a service market for the crab producer with the help of the local service provider and input supplier.</w:t>
      </w:r>
    </w:p>
    <w:p w14:paraId="331FB161">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Support access to markets, market information, and contractual linkages with downstream businesses (contract farming, out-grower schemes, etc.).</w:t>
      </w:r>
    </w:p>
    <w:p w14:paraId="61E49F97">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Assist in establishing access to crab processing, cold chain maintenance, packaging, storage, transportation, etc.</w:t>
      </w:r>
    </w:p>
    <w:p w14:paraId="1ACB5D64">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 xml:space="preserve">Support entrepreneurs to establish a premium supply chain for value-added crab and crab products both in national and international markets. </w:t>
      </w:r>
    </w:p>
    <w:p w14:paraId="06CA90A3">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Capacity building of the crab handler on Good handling practices.</w:t>
      </w:r>
    </w:p>
    <w:p w14:paraId="6577298C">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Identify constraints and possible measures for the crab value chain.</w:t>
      </w:r>
    </w:p>
    <w:p w14:paraId="492705D9">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 xml:space="preserve">Support community mobilizer officer to mobilize producer group, demonstration, selection, and effective linkage with different stakeholders. </w:t>
      </w:r>
    </w:p>
    <w:p w14:paraId="7918281A">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Pay regular field visits to ensure technical assistance and monitoring of the project activities.</w:t>
      </w:r>
    </w:p>
    <w:p w14:paraId="268FC55A">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Assist in the preparation of monthly progress reports, case studies, research studies, etc.</w:t>
      </w:r>
    </w:p>
    <w:p w14:paraId="30FC0012">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Perform any other duties assigned by PKSF &amp; IE Management.</w:t>
      </w:r>
    </w:p>
    <w:p w14:paraId="4E9B7CDE">
      <w:pPr>
        <w:rPr>
          <w:rFonts w:ascii="Cambria" w:hAnsi="Cambria" w:eastAsia="Calibri" w:cs="Calibri"/>
          <w:b/>
          <w:bCs/>
          <w:sz w:val="24"/>
          <w:szCs w:val="24"/>
        </w:rPr>
      </w:pPr>
    </w:p>
    <w:p w14:paraId="5B5ECB81">
      <w:pPr>
        <w:jc w:val="both"/>
        <w:rPr>
          <w:rFonts w:ascii="Cambria" w:hAnsi="Cambria"/>
          <w:sz w:val="24"/>
          <w:szCs w:val="24"/>
        </w:rPr>
      </w:pPr>
      <w:r>
        <w:rPr>
          <w:rFonts w:ascii="Cambria" w:hAnsi="Cambria" w:eastAsia="Calibri" w:cs="Calibri"/>
          <w:b/>
          <w:bCs/>
          <w:sz w:val="24"/>
          <w:szCs w:val="24"/>
        </w:rPr>
        <w:t>4. Education, Age and Experience:</w:t>
      </w:r>
    </w:p>
    <w:p w14:paraId="54C36CC5">
      <w:pPr>
        <w:pStyle w:val="10"/>
        <w:numPr>
          <w:ilvl w:val="0"/>
          <w:numId w:val="1"/>
        </w:numPr>
        <w:jc w:val="both"/>
        <w:rPr>
          <w:rFonts w:ascii="Cambria" w:hAnsi="Cambria" w:eastAsia="Calibri" w:cs="Calibri"/>
          <w:sz w:val="24"/>
          <w:szCs w:val="24"/>
        </w:rPr>
      </w:pPr>
      <w:r>
        <w:rPr>
          <w:rFonts w:ascii="Cambria" w:hAnsi="Cambria" w:eastAsia="Calibri" w:cs="Calibri"/>
          <w:sz w:val="24"/>
          <w:szCs w:val="24"/>
        </w:rPr>
        <w:t xml:space="preserve">Education: Master's degree in Aquaculture, Fisheries Technology, Fish Processing &amp; Quality Control, Fish Genetics &amp; Biotechnology, Business Administration or any other relevant subject along with 4 year’s Bachelor’ degree in Fisheries from a UGC-approved university. </w:t>
      </w:r>
    </w:p>
    <w:p w14:paraId="569F0180">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Having 3</w:t>
      </w:r>
      <w:r>
        <w:rPr>
          <w:rFonts w:ascii="Cambria" w:hAnsi="Cambria" w:eastAsia="Calibri" w:cs="Calibri"/>
          <w:sz w:val="24"/>
          <w:szCs w:val="24"/>
          <w:vertAlign w:val="superscript"/>
        </w:rPr>
        <w:t>rd</w:t>
      </w:r>
      <w:r>
        <w:rPr>
          <w:rFonts w:ascii="Cambria" w:hAnsi="Cambria" w:eastAsia="Calibri" w:cs="Calibri"/>
          <w:sz w:val="24"/>
          <w:szCs w:val="24"/>
        </w:rPr>
        <w:t xml:space="preserve"> division/class/equivalent CGPA in any examination will incur ineligibility.</w:t>
      </w:r>
    </w:p>
    <w:p w14:paraId="5727F5F3">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Age limit: Maximum 40 years.</w:t>
      </w:r>
    </w:p>
    <w:p w14:paraId="1D48CB6C">
      <w:pPr>
        <w:numPr>
          <w:ilvl w:val="0"/>
          <w:numId w:val="1"/>
        </w:numPr>
        <w:spacing w:after="0"/>
        <w:contextualSpacing/>
        <w:jc w:val="both"/>
        <w:rPr>
          <w:rFonts w:ascii="Cambria" w:hAnsi="Cambria" w:eastAsia="Calibri" w:cs="Calibri"/>
          <w:sz w:val="24"/>
          <w:szCs w:val="24"/>
        </w:rPr>
      </w:pPr>
      <w:r>
        <w:rPr>
          <w:rFonts w:ascii="Cambria" w:hAnsi="Cambria" w:eastAsia="Calibri" w:cs="Calibri"/>
          <w:sz w:val="24"/>
          <w:szCs w:val="24"/>
        </w:rPr>
        <w:t xml:space="preserve">Experience: Minimum 5 years with at least 3 years of professional experience of technical support in aquaculture supply chain. Experience in climate change adaptation or mitigation, fish supply chain projects funded by PKSF or GCF will get preference. </w:t>
      </w:r>
    </w:p>
    <w:p w14:paraId="4693DF9B">
      <w:pPr>
        <w:numPr>
          <w:ilvl w:val="0"/>
          <w:numId w:val="1"/>
        </w:numPr>
        <w:spacing w:after="0"/>
        <w:contextualSpacing/>
        <w:jc w:val="both"/>
        <w:rPr>
          <w:rFonts w:ascii="Cambria" w:hAnsi="Cambria" w:eastAsia="Calibri" w:cs="Calibri"/>
          <w:sz w:val="24"/>
          <w:szCs w:val="24"/>
        </w:rPr>
      </w:pPr>
      <w:r>
        <w:rPr>
          <w:rFonts w:ascii="Cambria" w:hAnsi="Cambria" w:eastAsia="Calibri" w:cs="Calibri"/>
          <w:sz w:val="24"/>
          <w:szCs w:val="24"/>
        </w:rPr>
        <w:t>Work experience with government agencies, partner organizations of PKSF, international development partners, and coastal communities in Bangladesh is an asset.</w:t>
      </w:r>
    </w:p>
    <w:p w14:paraId="026D592C">
      <w:pPr>
        <w:rPr>
          <w:rFonts w:ascii="Cambria" w:hAnsi="Cambria" w:eastAsia="Calibri" w:cs="Calibri"/>
          <w:b/>
          <w:bCs/>
          <w:sz w:val="24"/>
          <w:szCs w:val="24"/>
        </w:rPr>
      </w:pPr>
    </w:p>
    <w:p w14:paraId="4D8900D8">
      <w:pPr>
        <w:spacing w:after="0" w:line="240" w:lineRule="auto"/>
        <w:rPr>
          <w:rFonts w:ascii="Cambria" w:hAnsi="Cambria" w:eastAsia="Calibri" w:cs="Calibri"/>
          <w:b/>
          <w:bCs/>
          <w:sz w:val="24"/>
          <w:szCs w:val="24"/>
        </w:rPr>
      </w:pPr>
      <w:r>
        <w:rPr>
          <w:rFonts w:ascii="Cambria" w:hAnsi="Cambria" w:eastAsia="Calibri" w:cs="Calibri"/>
          <w:b/>
          <w:bCs/>
          <w:sz w:val="24"/>
          <w:szCs w:val="24"/>
        </w:rPr>
        <w:br w:type="page"/>
      </w:r>
    </w:p>
    <w:p w14:paraId="38029991">
      <w:pPr>
        <w:rPr>
          <w:rFonts w:ascii="Cambria" w:hAnsi="Cambria"/>
          <w:sz w:val="24"/>
          <w:szCs w:val="24"/>
        </w:rPr>
      </w:pPr>
      <w:r>
        <w:rPr>
          <w:rFonts w:ascii="Cambria" w:hAnsi="Cambria" w:eastAsia="Calibri" w:cs="Calibri"/>
          <w:b/>
          <w:bCs/>
          <w:sz w:val="24"/>
          <w:szCs w:val="24"/>
        </w:rPr>
        <w:t>5. Other Qualifications:</w:t>
      </w:r>
    </w:p>
    <w:p w14:paraId="3DB0F149">
      <w:pPr>
        <w:numPr>
          <w:ilvl w:val="0"/>
          <w:numId w:val="1"/>
        </w:numPr>
        <w:spacing w:after="0"/>
        <w:contextualSpacing/>
        <w:jc w:val="both"/>
        <w:rPr>
          <w:rFonts w:ascii="Cambria" w:hAnsi="Cambria" w:eastAsia="Calibri" w:cs="Calibri"/>
          <w:sz w:val="24"/>
          <w:szCs w:val="24"/>
        </w:rPr>
      </w:pPr>
      <w:r>
        <w:rPr>
          <w:rFonts w:ascii="Cambria" w:hAnsi="Cambria" w:eastAsia="Calibri" w:cs="Calibri"/>
          <w:sz w:val="24"/>
          <w:szCs w:val="24"/>
        </w:rPr>
        <w:t>Proven experience in team leadership, communication, market and product development, and stakeholder engagement.</w:t>
      </w:r>
    </w:p>
    <w:p w14:paraId="4FB9BA21">
      <w:pPr>
        <w:numPr>
          <w:ilvl w:val="0"/>
          <w:numId w:val="1"/>
        </w:numPr>
        <w:spacing w:after="0"/>
        <w:contextualSpacing/>
        <w:jc w:val="both"/>
        <w:rPr>
          <w:rFonts w:ascii="Cambria" w:hAnsi="Cambria" w:eastAsia="Calibri" w:cs="Calibri"/>
          <w:sz w:val="24"/>
          <w:szCs w:val="24"/>
        </w:rPr>
      </w:pPr>
      <w:r>
        <w:rPr>
          <w:rFonts w:ascii="Cambria" w:hAnsi="Cambria" w:eastAsia="Calibri" w:cs="Calibri"/>
          <w:sz w:val="24"/>
          <w:szCs w:val="24"/>
        </w:rPr>
        <w:t>Knowledge or expertise in safe fish production, GAqP, HACCP, traceability, and value-added fish product development will be an asset.</w:t>
      </w:r>
    </w:p>
    <w:p w14:paraId="48254DB1">
      <w:pPr>
        <w:numPr>
          <w:ilvl w:val="0"/>
          <w:numId w:val="1"/>
        </w:numPr>
        <w:spacing w:after="0"/>
        <w:contextualSpacing/>
        <w:jc w:val="both"/>
        <w:rPr>
          <w:rFonts w:ascii="Cambria" w:hAnsi="Cambria" w:eastAsia="Calibri" w:cs="Calibri"/>
          <w:sz w:val="24"/>
          <w:szCs w:val="24"/>
        </w:rPr>
      </w:pPr>
      <w:r>
        <w:rPr>
          <w:rFonts w:ascii="Cambria" w:hAnsi="Cambria" w:eastAsia="Calibri" w:cs="Calibri"/>
          <w:sz w:val="24"/>
          <w:szCs w:val="24"/>
        </w:rPr>
        <w:t>Excellent analytical, reporting, and presentation skills.</w:t>
      </w:r>
    </w:p>
    <w:p w14:paraId="5A2266C7">
      <w:pPr>
        <w:numPr>
          <w:ilvl w:val="0"/>
          <w:numId w:val="1"/>
        </w:numPr>
        <w:spacing w:after="0"/>
        <w:contextualSpacing/>
        <w:jc w:val="both"/>
        <w:rPr>
          <w:rFonts w:ascii="Cambria" w:hAnsi="Cambria" w:eastAsia="Calibri" w:cs="Calibri"/>
          <w:sz w:val="24"/>
          <w:szCs w:val="24"/>
        </w:rPr>
      </w:pPr>
      <w:r>
        <w:rPr>
          <w:rFonts w:ascii="Cambria" w:hAnsi="Cambria" w:eastAsia="Calibri" w:cs="Calibri"/>
          <w:sz w:val="24"/>
          <w:szCs w:val="24"/>
        </w:rPr>
        <w:t>Basic understanding of climate-smart aquaculture, climate change adaptation, and mitigation approach.</w:t>
      </w:r>
    </w:p>
    <w:p w14:paraId="774EC0E2">
      <w:pPr>
        <w:pStyle w:val="10"/>
        <w:numPr>
          <w:ilvl w:val="0"/>
          <w:numId w:val="1"/>
        </w:numPr>
        <w:rPr>
          <w:rFonts w:ascii="Cambria" w:hAnsi="Cambria" w:eastAsia="Calibri" w:cs="Calibri"/>
          <w:sz w:val="24"/>
          <w:szCs w:val="24"/>
        </w:rPr>
      </w:pPr>
      <w:bookmarkStart w:id="1" w:name="_Hlk161015917"/>
      <w:r>
        <w:rPr>
          <w:rFonts w:ascii="Cambria" w:hAnsi="Cambria" w:eastAsia="Calibri" w:cs="Calibri"/>
          <w:sz w:val="24"/>
          <w:szCs w:val="24"/>
        </w:rPr>
        <w:t>Needs to have expertise in MS Office Word, MS Office Excel, and MS Office PowerPoint.</w:t>
      </w:r>
    </w:p>
    <w:p w14:paraId="363AF61E">
      <w:pPr>
        <w:pStyle w:val="10"/>
        <w:numPr>
          <w:ilvl w:val="0"/>
          <w:numId w:val="1"/>
        </w:numPr>
        <w:rPr>
          <w:rFonts w:ascii="Cambria" w:hAnsi="Cambria" w:eastAsia="Calibri" w:cs="Calibri"/>
          <w:sz w:val="24"/>
          <w:szCs w:val="24"/>
        </w:rPr>
      </w:pPr>
      <w:r>
        <w:rPr>
          <w:rFonts w:ascii="Cambria" w:hAnsi="Cambria" w:eastAsia="Calibri" w:cs="Calibri"/>
          <w:sz w:val="24"/>
          <w:szCs w:val="24"/>
        </w:rPr>
        <w:t>Familiarity with KoboToolbox and GIS will be a valuable asset.</w:t>
      </w:r>
    </w:p>
    <w:bookmarkEnd w:id="1"/>
    <w:p w14:paraId="2517B096">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Fluency in English and Bengali languages is essential.</w:t>
      </w:r>
    </w:p>
    <w:p w14:paraId="18DE338D">
      <w:pPr>
        <w:pStyle w:val="10"/>
        <w:numPr>
          <w:ilvl w:val="0"/>
          <w:numId w:val="1"/>
        </w:numPr>
        <w:spacing w:after="0"/>
        <w:jc w:val="both"/>
        <w:rPr>
          <w:rFonts w:ascii="Cambria" w:hAnsi="Cambria" w:eastAsia="Calibri" w:cs="Calibri"/>
          <w:sz w:val="24"/>
          <w:szCs w:val="24"/>
        </w:rPr>
      </w:pPr>
      <w:r>
        <w:rPr>
          <w:rFonts w:ascii="Cambria" w:hAnsi="Cambria" w:eastAsia="Calibri" w:cs="Calibri"/>
          <w:sz w:val="24"/>
          <w:szCs w:val="24"/>
        </w:rPr>
        <w:t>Must have a valid motorcycle driving license.</w:t>
      </w:r>
    </w:p>
    <w:p w14:paraId="1B994D1B">
      <w:pPr>
        <w:jc w:val="both"/>
        <w:rPr>
          <w:rFonts w:ascii="Cambria" w:hAnsi="Cambria" w:eastAsia="Calibri" w:cs="Calibri"/>
          <w:b/>
          <w:bCs/>
          <w:sz w:val="24"/>
          <w:szCs w:val="24"/>
        </w:rPr>
      </w:pPr>
    </w:p>
    <w:p w14:paraId="632FCBD7">
      <w:pPr>
        <w:jc w:val="both"/>
        <w:rPr>
          <w:rFonts w:ascii="Cambria" w:hAnsi="Cambria" w:eastAsia="Calibri" w:cs="Calibri"/>
          <w:b/>
          <w:bCs/>
          <w:sz w:val="24"/>
          <w:szCs w:val="24"/>
        </w:rPr>
      </w:pPr>
      <w:r>
        <w:rPr>
          <w:rFonts w:ascii="Cambria" w:hAnsi="Cambria" w:eastAsia="Calibri" w:cs="Calibri"/>
          <w:b/>
          <w:bCs/>
          <w:sz w:val="24"/>
          <w:szCs w:val="24"/>
        </w:rPr>
        <w:t>6. Salary and other admissible benefits.  </w:t>
      </w:r>
    </w:p>
    <w:p w14:paraId="164BA1FD">
      <w:pPr>
        <w:pStyle w:val="10"/>
        <w:numPr>
          <w:ilvl w:val="0"/>
          <w:numId w:val="1"/>
        </w:numPr>
        <w:spacing w:after="0" w:line="254" w:lineRule="auto"/>
        <w:jc w:val="both"/>
        <w:rPr>
          <w:rFonts w:ascii="Cambria" w:hAnsi="Cambria" w:eastAsia="Calibri" w:cs="Calibri"/>
          <w:sz w:val="24"/>
          <w:szCs w:val="24"/>
        </w:rPr>
      </w:pPr>
      <w:r>
        <w:rPr>
          <w:rFonts w:ascii="Cambria" w:hAnsi="Cambria" w:eastAsia="Calibri" w:cs="Calibri"/>
          <w:sz w:val="24"/>
          <w:szCs w:val="24"/>
        </w:rPr>
        <w:t xml:space="preserve">Gross salary (monthly): BDT </w:t>
      </w:r>
      <w:r>
        <w:rPr>
          <w:rFonts w:hint="default" w:ascii="Cambria" w:hAnsi="Cambria" w:eastAsia="Calibri" w:cs="Calibri"/>
          <w:sz w:val="24"/>
          <w:szCs w:val="24"/>
          <w:lang w:val="en-US"/>
        </w:rPr>
        <w:t>60,000</w:t>
      </w:r>
      <w:r>
        <w:rPr>
          <w:rFonts w:ascii="Cambria" w:hAnsi="Cambria" w:eastAsia="Calibri" w:cs="Calibri"/>
          <w:sz w:val="24"/>
          <w:szCs w:val="24"/>
        </w:rPr>
        <w:t>/-</w:t>
      </w:r>
      <w:r>
        <w:rPr>
          <w:rFonts w:hint="default" w:ascii="Cambria" w:hAnsi="Cambria" w:eastAsia="Calibri" w:cs="Calibri"/>
          <w:sz w:val="24"/>
          <w:szCs w:val="24"/>
          <w:lang w:val="en-US"/>
        </w:rPr>
        <w:t xml:space="preserve"> ++ (Based on qualification)</w:t>
      </w:r>
      <w:bookmarkStart w:id="2" w:name="_GoBack"/>
      <w:bookmarkEnd w:id="2"/>
    </w:p>
    <w:p w14:paraId="6E92344F">
      <w:pPr>
        <w:pStyle w:val="10"/>
        <w:numPr>
          <w:ilvl w:val="0"/>
          <w:numId w:val="1"/>
        </w:numPr>
        <w:spacing w:after="0" w:line="254" w:lineRule="auto"/>
        <w:jc w:val="both"/>
        <w:rPr>
          <w:rFonts w:ascii="Cambria" w:hAnsi="Cambria" w:eastAsia="Calibri" w:cs="Calibri"/>
          <w:sz w:val="24"/>
          <w:szCs w:val="24"/>
        </w:rPr>
      </w:pPr>
      <w:r>
        <w:rPr>
          <w:rFonts w:ascii="Cambria" w:hAnsi="Cambria" w:eastAsia="Calibri" w:cs="Calibri"/>
          <w:sz w:val="24"/>
          <w:szCs w:val="24"/>
        </w:rPr>
        <w:t>Religious festival bonus (yearly): 100% of a monthly gross salary.</w:t>
      </w:r>
    </w:p>
    <w:p w14:paraId="79EDACE3">
      <w:pPr>
        <w:pStyle w:val="10"/>
        <w:numPr>
          <w:ilvl w:val="0"/>
          <w:numId w:val="1"/>
        </w:numPr>
        <w:spacing w:after="0" w:line="254" w:lineRule="auto"/>
        <w:jc w:val="both"/>
        <w:rPr>
          <w:rFonts w:ascii="Cambria" w:hAnsi="Cambria" w:eastAsia="Calibri" w:cs="Calibri"/>
          <w:sz w:val="24"/>
          <w:szCs w:val="24"/>
        </w:rPr>
      </w:pPr>
      <w:r>
        <w:rPr>
          <w:rFonts w:ascii="Cambria" w:hAnsi="Cambria" w:eastAsia="Calibri" w:cs="Calibri"/>
          <w:sz w:val="24"/>
          <w:szCs w:val="24"/>
        </w:rPr>
        <w:t>Bangla New Year allowance (yearly): 10% of a monthly gross salary.</w:t>
      </w:r>
    </w:p>
    <w:p w14:paraId="2E0E79C6">
      <w:pPr>
        <w:pStyle w:val="10"/>
        <w:numPr>
          <w:ilvl w:val="0"/>
          <w:numId w:val="1"/>
        </w:numPr>
        <w:spacing w:after="0" w:line="254" w:lineRule="auto"/>
        <w:jc w:val="both"/>
        <w:rPr>
          <w:rFonts w:ascii="Cambria" w:hAnsi="Cambria" w:eastAsia="Calibri" w:cs="Calibri"/>
          <w:sz w:val="24"/>
          <w:szCs w:val="24"/>
        </w:rPr>
      </w:pPr>
      <w:r>
        <w:rPr>
          <w:rFonts w:ascii="Cambria" w:hAnsi="Cambria" w:eastAsia="Calibri" w:cs="Calibri"/>
          <w:sz w:val="24"/>
          <w:szCs w:val="24"/>
        </w:rPr>
        <w:t>Phone bill allowance (monthly): BDT 700/-</w:t>
      </w:r>
    </w:p>
    <w:p w14:paraId="150AB49B">
      <w:pPr>
        <w:pStyle w:val="10"/>
        <w:numPr>
          <w:ilvl w:val="0"/>
          <w:numId w:val="1"/>
        </w:numPr>
        <w:spacing w:after="0" w:line="254" w:lineRule="auto"/>
        <w:jc w:val="both"/>
        <w:rPr>
          <w:rFonts w:ascii="Cambria" w:hAnsi="Cambria" w:eastAsia="Calibri" w:cs="Calibri"/>
          <w:sz w:val="24"/>
          <w:szCs w:val="24"/>
        </w:rPr>
      </w:pPr>
      <w:r>
        <w:rPr>
          <w:rFonts w:ascii="Cambria" w:hAnsi="Cambria" w:eastAsia="Calibri" w:cs="Calibri"/>
          <w:sz w:val="24"/>
          <w:szCs w:val="24"/>
        </w:rPr>
        <w:t>Other allowance (monthly): BDT 9,</w:t>
      </w:r>
      <w:r>
        <w:rPr>
          <w:rFonts w:hint="default" w:ascii="Cambria" w:hAnsi="Cambria" w:eastAsia="Calibri" w:cs="Calibri"/>
          <w:sz w:val="24"/>
          <w:szCs w:val="24"/>
          <w:lang w:val="en-US"/>
        </w:rPr>
        <w:t>5</w:t>
      </w:r>
      <w:r>
        <w:rPr>
          <w:rFonts w:ascii="Cambria" w:hAnsi="Cambria" w:eastAsia="Calibri" w:cs="Calibri"/>
          <w:sz w:val="24"/>
          <w:szCs w:val="24"/>
        </w:rPr>
        <w:t>00/- per month for motorcycle rent, fuel, and maintenance.</w:t>
      </w:r>
    </w:p>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rinda">
    <w:altName w:val="Segoe UI Symbol"/>
    <w:panose1 w:val="020B0502040204020203"/>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Calibri Light">
    <w:panose1 w:val="020F0302020204030204"/>
    <w:charset w:val="00"/>
    <w:family w:val="swiss"/>
    <w:pitch w:val="default"/>
    <w:sig w:usb0="E4002EFF" w:usb1="C000247B" w:usb2="00000009" w:usb3="00000000" w:csb0="200001FF" w:csb1="00000000"/>
  </w:font>
  <w:font w:name="SutonnyMJ">
    <w:panose1 w:val="00000000000000000000"/>
    <w:charset w:val="00"/>
    <w:family w:val="auto"/>
    <w:pitch w:val="default"/>
    <w:sig w:usb0="8000002F" w:usb1="00000048" w:usb2="00000000" w:usb3="00000000" w:csb0="0000003F" w:csb1="04000000"/>
  </w:font>
  <w:font w:name="Cambria">
    <w:panose1 w:val="02040503050406030204"/>
    <w:charset w:val="00"/>
    <w:family w:val="roman"/>
    <w:pitch w:val="default"/>
    <w:sig w:usb0="E00006FF" w:usb1="420024FF" w:usb2="02000000" w:usb3="00000000" w:csb0="2000019F" w:csb1="00000000"/>
  </w:font>
  <w:font w:name="Shonar Bangla">
    <w:altName w:val="Times New Roman"/>
    <w:panose1 w:val="02020603050405020304"/>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5F76E4"/>
    <w:multiLevelType w:val="multilevel"/>
    <w:tmpl w:val="6A5F76E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14884"/>
    <w:rsid w:val="000056C8"/>
    <w:rsid w:val="000079DA"/>
    <w:rsid w:val="00007F97"/>
    <w:rsid w:val="000A1837"/>
    <w:rsid w:val="000D0BDA"/>
    <w:rsid w:val="000D68D2"/>
    <w:rsid w:val="000E3C4B"/>
    <w:rsid w:val="001107DC"/>
    <w:rsid w:val="00146256"/>
    <w:rsid w:val="00191023"/>
    <w:rsid w:val="001B75B8"/>
    <w:rsid w:val="001D17D5"/>
    <w:rsid w:val="002D5E95"/>
    <w:rsid w:val="003602AA"/>
    <w:rsid w:val="003844AF"/>
    <w:rsid w:val="003E5974"/>
    <w:rsid w:val="0040197A"/>
    <w:rsid w:val="00417A3C"/>
    <w:rsid w:val="00420244"/>
    <w:rsid w:val="004452A6"/>
    <w:rsid w:val="00457BFF"/>
    <w:rsid w:val="00463C33"/>
    <w:rsid w:val="00476B3A"/>
    <w:rsid w:val="00485F2A"/>
    <w:rsid w:val="004E21C4"/>
    <w:rsid w:val="004F0352"/>
    <w:rsid w:val="004F194B"/>
    <w:rsid w:val="00557128"/>
    <w:rsid w:val="00581A25"/>
    <w:rsid w:val="005A771A"/>
    <w:rsid w:val="005C18C5"/>
    <w:rsid w:val="005E6861"/>
    <w:rsid w:val="005F078C"/>
    <w:rsid w:val="00703B95"/>
    <w:rsid w:val="00710A64"/>
    <w:rsid w:val="00720894"/>
    <w:rsid w:val="007720C9"/>
    <w:rsid w:val="00775F82"/>
    <w:rsid w:val="007769A2"/>
    <w:rsid w:val="007B415D"/>
    <w:rsid w:val="00813CCE"/>
    <w:rsid w:val="008470DB"/>
    <w:rsid w:val="00852B1C"/>
    <w:rsid w:val="008806D9"/>
    <w:rsid w:val="008830E4"/>
    <w:rsid w:val="0089192E"/>
    <w:rsid w:val="008F4981"/>
    <w:rsid w:val="0090041C"/>
    <w:rsid w:val="009233E5"/>
    <w:rsid w:val="00955FB8"/>
    <w:rsid w:val="00966DAF"/>
    <w:rsid w:val="00992708"/>
    <w:rsid w:val="009A2167"/>
    <w:rsid w:val="00A20B7E"/>
    <w:rsid w:val="00A37A35"/>
    <w:rsid w:val="00A458E8"/>
    <w:rsid w:val="00A76F5A"/>
    <w:rsid w:val="00A822EC"/>
    <w:rsid w:val="00A908C7"/>
    <w:rsid w:val="00A92D01"/>
    <w:rsid w:val="00AC2106"/>
    <w:rsid w:val="00AD2C70"/>
    <w:rsid w:val="00B0772E"/>
    <w:rsid w:val="00B27E8E"/>
    <w:rsid w:val="00B33147"/>
    <w:rsid w:val="00B43C22"/>
    <w:rsid w:val="00B457CE"/>
    <w:rsid w:val="00B86D88"/>
    <w:rsid w:val="00C02B6C"/>
    <w:rsid w:val="00C10957"/>
    <w:rsid w:val="00C13B44"/>
    <w:rsid w:val="00C15AEA"/>
    <w:rsid w:val="00C20421"/>
    <w:rsid w:val="00C623CD"/>
    <w:rsid w:val="00C872BA"/>
    <w:rsid w:val="00C91E8A"/>
    <w:rsid w:val="00CA15FA"/>
    <w:rsid w:val="00CF4F7C"/>
    <w:rsid w:val="00D00BE1"/>
    <w:rsid w:val="00D30341"/>
    <w:rsid w:val="00D35027"/>
    <w:rsid w:val="00D355D9"/>
    <w:rsid w:val="00D532AA"/>
    <w:rsid w:val="00D53A96"/>
    <w:rsid w:val="00D57F1E"/>
    <w:rsid w:val="00D901D5"/>
    <w:rsid w:val="00D93270"/>
    <w:rsid w:val="00DB40E3"/>
    <w:rsid w:val="00DB5DBC"/>
    <w:rsid w:val="00DE591F"/>
    <w:rsid w:val="00E0362B"/>
    <w:rsid w:val="00E0705E"/>
    <w:rsid w:val="00E24FA6"/>
    <w:rsid w:val="00E27587"/>
    <w:rsid w:val="00E61D6C"/>
    <w:rsid w:val="00E67745"/>
    <w:rsid w:val="00ED4F71"/>
    <w:rsid w:val="00EE65FE"/>
    <w:rsid w:val="00F069F2"/>
    <w:rsid w:val="00F169E5"/>
    <w:rsid w:val="00F9326A"/>
    <w:rsid w:val="00FB024D"/>
    <w:rsid w:val="00FE08FC"/>
    <w:rsid w:val="03561D64"/>
    <w:rsid w:val="0BAF194C"/>
    <w:rsid w:val="0EBC52CF"/>
    <w:rsid w:val="10B416E8"/>
    <w:rsid w:val="35980DCD"/>
    <w:rsid w:val="5A2A7C7B"/>
    <w:rsid w:val="5DCD66FE"/>
    <w:rsid w:val="7BA14884"/>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uiPriority="99" w:name="Body Text 3"/>
    <w:lsdException w:uiPriority="99" w:name="Body Text Indent 2"/>
    <w:lsdException w:uiPriority="99" w:name="Body Text Indent 3"/>
    <w:lsdException w:uiPriority="99" w:name="Block Text"/>
    <w:lsdException w:qFormat="1" w:unhideWhenUsed="0" w:uiPriority="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9"/>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2"/>
    <w:basedOn w:val="1"/>
    <w:link w:val="12"/>
    <w:semiHidden/>
    <w:qFormat/>
    <w:uiPriority w:val="0"/>
    <w:pPr>
      <w:spacing w:before="120" w:after="0" w:line="240" w:lineRule="auto"/>
    </w:pPr>
    <w:rPr>
      <w:rFonts w:ascii="SutonnyMJ" w:hAnsi="SutonnyMJ" w:eastAsia="Times New Roman" w:cs="Times New Roman"/>
      <w:sz w:val="26"/>
      <w:szCs w:val="24"/>
    </w:rPr>
  </w:style>
  <w:style w:type="character" w:styleId="6">
    <w:name w:val="Hyperlink"/>
    <w:semiHidden/>
    <w:qFormat/>
    <w:uiPriority w:val="0"/>
    <w:rPr>
      <w:color w:val="0000FF"/>
      <w:u w:val="single"/>
    </w:rPr>
  </w:style>
  <w:style w:type="character" w:styleId="7">
    <w:name w:val="Strong"/>
    <w:basedOn w:val="3"/>
    <w:qFormat/>
    <w:uiPriority w:val="22"/>
    <w:rPr>
      <w:b/>
      <w:bCs/>
    </w:rPr>
  </w:style>
  <w:style w:type="table" w:styleId="8">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Heading 2 Char"/>
    <w:basedOn w:val="3"/>
    <w:link w:val="2"/>
    <w:qFormat/>
    <w:uiPriority w:val="9"/>
    <w:rPr>
      <w:rFonts w:asciiTheme="majorHAnsi" w:hAnsiTheme="majorHAnsi" w:eastAsiaTheme="majorEastAsia" w:cstheme="majorBidi"/>
      <w:color w:val="2F5597" w:themeColor="accent1" w:themeShade="BF"/>
      <w:sz w:val="26"/>
      <w:szCs w:val="26"/>
    </w:rPr>
  </w:style>
  <w:style w:type="paragraph" w:styleId="10">
    <w:name w:val="List Paragraph"/>
    <w:basedOn w:val="1"/>
    <w:link w:val="13"/>
    <w:qFormat/>
    <w:uiPriority w:val="34"/>
    <w:pPr>
      <w:ind w:left="720"/>
      <w:contextualSpacing/>
    </w:pPr>
  </w:style>
  <w:style w:type="paragraph" w:customStyle="1" w:styleId="11">
    <w:name w:val="Style"/>
    <w:qFormat/>
    <w:uiPriority w:val="0"/>
    <w:pPr>
      <w:widowControl w:val="0"/>
      <w:autoSpaceDE w:val="0"/>
      <w:autoSpaceDN w:val="0"/>
      <w:adjustRightInd w:val="0"/>
    </w:pPr>
    <w:rPr>
      <w:rFonts w:ascii="Times New Roman" w:hAnsi="Times New Roman" w:eastAsia="Times New Roman" w:cs="Times New Roman"/>
      <w:szCs w:val="24"/>
      <w:lang w:val="en-US" w:eastAsia="en-US" w:bidi="ar-SA"/>
    </w:rPr>
  </w:style>
  <w:style w:type="character" w:customStyle="1" w:styleId="12">
    <w:name w:val="Body Text 2 Char"/>
    <w:basedOn w:val="3"/>
    <w:link w:val="5"/>
    <w:semiHidden/>
    <w:qFormat/>
    <w:uiPriority w:val="0"/>
    <w:rPr>
      <w:rFonts w:ascii="SutonnyMJ" w:hAnsi="SutonnyMJ" w:eastAsia="Times New Roman" w:cs="Times New Roman"/>
      <w:sz w:val="26"/>
      <w:szCs w:val="24"/>
    </w:rPr>
  </w:style>
  <w:style w:type="character" w:customStyle="1" w:styleId="13">
    <w:name w:val="List Paragraph Char"/>
    <w:link w:val="10"/>
    <w:qFormat/>
    <w:locked/>
    <w:uiPriority w:val="34"/>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905</Words>
  <Characters>5529</Characters>
  <Lines>46</Lines>
  <Paragraphs>12</Paragraphs>
  <TotalTime>360</TotalTime>
  <ScaleCrop>false</ScaleCrop>
  <LinksUpToDate>false</LinksUpToDate>
  <CharactersWithSpaces>6379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2024-01-02T15:36:00Z</dcterms:created>
  <dc:creator>Md. Fozla Hossain Forhad</dc:creator>
  <cp:lastModifiedBy>Aminul Tushar</cp:lastModifiedBy>
  <dcterms:modified xsi:type="dcterms:W3CDTF">2026-09-23T04:00:35Z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A5DCA05C6E9B474D9B2C52862A8F2D32_12</vt:lpwstr>
  </property>
  <property fmtid="{D5CDD505-2E9C-101B-9397-08002B2CF9AE}" pid="4" name="GrammarlyDocumentId">
    <vt:lpwstr>273ad27b3847779064ccc85fce9d2c2872eeffd9994ef2bd60f98dd7d34ced2d</vt:lpwstr>
  </property>
  <property fmtid="{D5CDD505-2E9C-101B-9397-08002B2CF9AE}" pid="5" name="KSOTemplateDocerSaveRecord">
    <vt:lpwstr>eyJoZGlkIjoiMDliYmQ1MjhiMjJjYTk4NjFkMmRlNGVjY2Y2Yzc1ZWYiLCJ1c2VySWQiOiIzMTc4ODU3MDYyNTQyIn0=</vt:lpwstr>
  </property>
</Properties>
</file>